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40" w:after="0" w:line="240"/>
        <w:ind w:right="0" w:left="0" w:firstLine="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Organiza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čn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 zaji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štěn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 krajských kol Biologické olympiády kategorie A a B.</w:t>
      </w:r>
    </w:p>
    <w:p>
      <w:pPr>
        <w:spacing w:before="0" w:after="0" w:line="240"/>
        <w:ind w:right="0" w:left="495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Podle metodického pokynu 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 finan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ídek v zájmovém vzd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ávání v Pardubickém kraji vydává krajská komise Biologické olympiády vnit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ředpis pro zabezpečen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krajských kol Biologické olympiády kategorie A a B.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Kategorie B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čena pro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áky 1. a 2.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čtyřlet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škol, 3. a 4. ročn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šestilet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gymnázií, 5. a 6.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osmilet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gymnázií, probíhá ve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a krajském kole.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Kategorie 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čena pro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áky 3. a 4.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čtyřlet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škol, 7. a 8. ročn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osmilet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gymnázií, 5. a 6.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šestilet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gymnázií, probíhá ve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ím, krajském a úst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kole. </w:t>
      </w:r>
    </w:p>
    <w:p>
      <w:pPr>
        <w:spacing w:before="150" w:after="15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2. Organizátor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ího kola odpovídá za správné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řazen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áka do kategorie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ěže.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Regul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érní ú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čast soutěž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ícího v krajském kole BiO je mo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á výhradn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ě v kraji, ke kter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ému ze správního hlediska nále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 jeho vysílající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škola. V př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ě jeho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časti v krajsk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ém kole BiO jiného kraje, je sout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ěž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ícího mo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é hodnotit výhradn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ě mimo soutěžn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řad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 v daném krajském kole a není mo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é zahrnout jej do hodnocení v rámci kraje, ke kterému ze správního hlediska nále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 jeho vysílající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škola, a to mj. vzhledem k rozd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ílnému zadání botanické a zoologické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ásti ur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ání 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írodnin v jednotlivých krajských kolech v rámci republiky, vzhledem k postupovému klí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či pro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ýb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ěr soutěž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ících do úst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ředn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ího kola BiO a sou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časně ostatn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ím postupovým klí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čům postihuj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ícím krajskou úrove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ň.</w:t>
      </w:r>
    </w:p>
    <w:p>
      <w:pPr>
        <w:spacing w:before="150" w:after="15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úlohy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 BiO  podléhají utajení. Se zn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úloh se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 seznamují bezprost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ředně před jejich vlastn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ím. Utajení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text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je nezbytnou podm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ínkou zaji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regulérnosti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ěže, za což zodpov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ídá organizátor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kola.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Komunikace 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garanta krajského kola (Marika Novotná) a odborného garanta krajského  kola (Mgr. Eva Hrubá)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organizátory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kol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bude probíhat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řes webovou str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ánku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Informa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í systém sout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ěž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í a olympiád Pardubického kraje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(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https://souteze.ccvpardubice.cz/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ístupové heslo na tuto stránku má 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škole osoba pověřen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ředitelem školy (školn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koordinátor).</w:t>
      </w:r>
    </w:p>
    <w:p>
      <w:pPr>
        <w:spacing w:before="150" w:after="15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Organizátor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 (ve spolupráci se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 koordinátorem) musí v Informa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systému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 olympiád Pardubického kraje nejprve zalo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 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kolo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kategorie (viz manuál Zalo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kola). Teprve po zalo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 mu budou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ístupn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ěny materi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ály nezbytné pro organizaci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kola.</w:t>
      </w:r>
    </w:p>
    <w:p>
      <w:pPr>
        <w:spacing w:before="150" w:after="15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Na webovou stránku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Informa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í systém sout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í a olympiád Pardubického kraje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budou postupn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vloženy materi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ály:  zadání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kola, 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pokyny, postup vyhodnocení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kola, vzorová výsledková listina, seznam postupujících do krajského kola, pozvánka do krajského kola,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informace, které se vztahují k organizaci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a krajských kol. Je v zájmu organizátora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 (ve spolupráci se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koordinátorem), aby se s 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ěmito informacemi sezn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ámil.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 vyhledávání informací je popsáno v manuálu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í a vyhledávání informací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50" w:after="15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ících do krajského je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pouze 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Informa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systému (viz  manuál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í do krajského kola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 Je bezpodmíne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čně nutn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žet term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ín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do krajského kola.</w:t>
      </w:r>
    </w:p>
    <w:p>
      <w:pPr>
        <w:spacing w:before="15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Postupová kola a termíny jejich konání</w:t>
      </w:r>
    </w:p>
    <w:tbl>
      <w:tblPr/>
      <w:tblGrid>
        <w:gridCol w:w="2891"/>
        <w:gridCol w:w="1928"/>
        <w:gridCol w:w="1928"/>
      </w:tblGrid>
      <w:tr>
        <w:trPr>
          <w:trHeight w:val="1" w:hRule="atLeast"/>
          <w:jc w:val="left"/>
        </w:trPr>
        <w:tc>
          <w:tcPr>
            <w:tcW w:w="2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kategorie A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kategorie B</w:t>
            </w:r>
          </w:p>
        </w:tc>
      </w:tr>
      <w:tr>
        <w:trPr>
          <w:trHeight w:val="454" w:hRule="auto"/>
          <w:jc w:val="left"/>
        </w:trPr>
        <w:tc>
          <w:tcPr>
            <w:tcW w:w="2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školn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í kola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do 3. 3. 2023 (pá)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do 3. 3. 2023 (pá)</w:t>
            </w:r>
          </w:p>
        </w:tc>
      </w:tr>
      <w:tr>
        <w:trPr>
          <w:trHeight w:val="454" w:hRule="auto"/>
          <w:jc w:val="left"/>
        </w:trPr>
        <w:tc>
          <w:tcPr>
            <w:tcW w:w="2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řihl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ška do krajsk</w:t>
            </w: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ého kola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do 7. 3. 2023 (út)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do 10. 3. 2023 (pá)</w:t>
            </w:r>
          </w:p>
        </w:tc>
      </w:tr>
      <w:tr>
        <w:trPr>
          <w:trHeight w:val="454" w:hRule="auto"/>
          <w:jc w:val="left"/>
        </w:trPr>
        <w:tc>
          <w:tcPr>
            <w:tcW w:w="289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333333"/>
                <w:spacing w:val="0"/>
                <w:position w:val="0"/>
                <w:sz w:val="24"/>
                <w:shd w:fill="auto" w:val="clear"/>
              </w:rPr>
              <w:t xml:space="preserve">krajská kola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24. 3. 2023 (pá)</w:t>
            </w:r>
          </w:p>
        </w:tc>
        <w:tc>
          <w:tcPr>
            <w:tcW w:w="19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31. 3. 2023 (pá)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 Organizátor krajského kola: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Centrum celo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životn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ího vzd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ávání-za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ízení pro dal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vzd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ávání pedagogických pracovník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 Pardubick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ého kraje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garant krajského kola: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Marika Novotná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Odborný garant krajského kola: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Mgr. Eva Hrubá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Místo konání: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Gymnázium Josefa Ressela Chrudim, Olbrachtova 291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Stanovení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ících ve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kole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rovnosti bodů soutěž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ících rozhoduje o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bodů dle těchto kriteri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úlohy praktické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test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biologických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ědomost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írodnin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postupových místech a místech náhradníka musí být jednozna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čně určeno.</w:t>
      </w:r>
    </w:p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přihlašov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 do krajského kola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čte prvn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dva v 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íznakem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postupuje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čtvrt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v 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íznakem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náhradník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Maximální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kola v obou kategoriích je 30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ů. Pro konečn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výb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 počtu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z jednotliv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 do 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kola je kritériem koeficient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dosažen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bod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 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kolech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ázejících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ěti ročn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(viz tabulka koeficientů kat. A a př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íloha tabulka koeficient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kat.  B). Pořad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 v tabulk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ách je stanoveno podle výpo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čtu: celkov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sou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bodů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za školu / počtem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 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 kole. Maximální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pozvan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z jedn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 jsou dva. </w:t>
      </w:r>
    </w:p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 Pro uplatn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koeficient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jsou nutn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alespo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dvě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časti v 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 kole v posledních 5 letech. V 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časti v posledn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5 letech bude ze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 pozv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 pouze jeden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ík.</w:t>
      </w:r>
    </w:p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Škola, kter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vysílá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áka na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ěž, informuje při př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íjezdu organizátora, zda bude uplat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ňovat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árok na úhradu jízdného. Nárok je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uplatnit nejpozd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ěji do 14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dnů po uskutečněn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ěže.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Úhradu jízdného vysílající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árokuje u organizátora krajského kola (CCV Pardubice).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 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ěži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ák, resp. jeho zákonný zástupce souhlasí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 pro pot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řeby organizačn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zaji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ěže s uveden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jména,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íjmení, roku narození, adresy 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ště, kontaktu,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ázvu a adresy nav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štěvovan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</w:t>
      </w:r>
    </w:p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ve zve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výsledkových listinách s uvedením jména,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íjmení, umíst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bodového hodnocení, názvu a adresy nav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štěvovan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školy.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Mgr. Eva Hrubá</w:t>
        <w:tab/>
        <w:tab/>
        <w:t xml:space="preserve">Mgr. Klára Jelinková                        Mgr. Ivona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Syrov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ředseda KK BiO</w:t>
        <w:tab/>
        <w:tab/>
        <w:t xml:space="preserve">     tajemn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 KK BiO</w:t>
        <w:tab/>
        <w:tab/>
        <w:t xml:space="preserve">           CCV Pardubice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50" w:after="15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outeze.ccvpardubice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